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2894</w:t>
            </w:r>
            <w:bookmarkStart w:id="19" w:name="_GoBack"/>
            <w:bookmarkEnd w:id="1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Ref Sense power level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CA_n41A-n79C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CA_n41A-n79C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</w:pPr>
      <w:r>
        <w:t>7.3A.2</w:t>
      </w:r>
      <w:r>
        <w:tab/>
      </w:r>
      <w:r>
        <w:t>Reference sensitivity power level for 3DL CA without exceptions</w:t>
      </w:r>
    </w:p>
    <w:p>
      <w:pPr>
        <w:pStyle w:val="8"/>
      </w:pPr>
      <w:bookmarkStart w:id="3" w:name="_Toc36227088"/>
      <w:bookmarkStart w:id="4" w:name="_Toc27478374"/>
      <w:r>
        <w:t>7.3A.2.1</w:t>
      </w:r>
      <w:r>
        <w:tab/>
      </w:r>
      <w:r>
        <w:t>Test purpose</w:t>
      </w:r>
      <w:bookmarkEnd w:id="3"/>
      <w:bookmarkEnd w:id="4"/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bookmarkStart w:id="5" w:name="_Toc36227089"/>
      <w:bookmarkStart w:id="6" w:name="_Toc27478375"/>
      <w:r>
        <w:t>7.3A.2.2</w:t>
      </w:r>
      <w:r>
        <w:tab/>
      </w:r>
      <w:r>
        <w:t>Test applicability</w:t>
      </w:r>
      <w:bookmarkEnd w:id="5"/>
      <w:bookmarkEnd w:id="6"/>
    </w:p>
    <w:p>
      <w:r>
        <w:t>This test case applies to all types of NR UE release 15 and forward that support NR 3DL CA.</w:t>
      </w:r>
    </w:p>
    <w:p>
      <w:pPr>
        <w:pStyle w:val="8"/>
      </w:pPr>
      <w:bookmarkStart w:id="7" w:name="_Toc36227090"/>
      <w:bookmarkStart w:id="8" w:name="_Toc27478376"/>
      <w:r>
        <w:t>7.3A.2.3</w:t>
      </w:r>
      <w:r>
        <w:tab/>
      </w:r>
      <w:r>
        <w:t>Minimum requirements</w:t>
      </w:r>
      <w:bookmarkEnd w:id="7"/>
      <w:bookmarkEnd w:id="8"/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bookmarkStart w:id="9" w:name="_Toc36227091"/>
      <w:bookmarkStart w:id="10" w:name="_Toc27478377"/>
      <w:r>
        <w:t>7.3A.2.4</w:t>
      </w:r>
      <w:r>
        <w:tab/>
      </w:r>
      <w:r>
        <w:t>Test description</w:t>
      </w:r>
      <w:bookmarkEnd w:id="9"/>
      <w:bookmarkEnd w:id="10"/>
    </w:p>
    <w:p>
      <w:pPr>
        <w:pStyle w:val="8"/>
      </w:pPr>
      <w:r>
        <w:t>7.3A.2.4.1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7.2A.2.4.1-1.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sectPr>
          <w:pgSz w:w="11906" w:h="16838"/>
          <w:pgMar w:top="1418" w:right="1134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7.3A.2.4.1-1: Test Configuration T</w:t>
      </w:r>
      <w:r>
        <w:rPr>
          <w:lang w:eastAsia="zh-CN"/>
        </w:rPr>
        <w:t>able for 3DL CA without exceptions</w:t>
      </w:r>
    </w:p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For test frequencies refer to “Range” columns.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Inter-band CA:</w:t>
            </w:r>
          </w:p>
          <w:p>
            <w:pPr>
              <w:pStyle w:val="53"/>
            </w:pPr>
            <w:r>
              <w:t>CA_nXA-nYA-nZA: Mid range for PCC and SCC with exceptions (</w:t>
            </w:r>
            <w:r>
              <w:rPr>
                <w:lang w:eastAsia="zh-CN"/>
              </w:rPr>
              <w:t>Note 11</w:t>
            </w:r>
            <w:r>
              <w:t>):</w:t>
            </w:r>
          </w:p>
          <w:p>
            <w:pPr>
              <w:pStyle w:val="53"/>
            </w:pPr>
            <w:bookmarkStart w:id="11" w:name="OLE_LINK35"/>
            <w:bookmarkStart w:id="12" w:name="OLE_LINK36"/>
            <w:r>
              <w:t>CA_nXC-nYA</w:t>
            </w:r>
            <w:bookmarkEnd w:id="11"/>
            <w:bookmarkEnd w:id="12"/>
            <w:r>
              <w:t>, CA_nYA-nXC, CA_nYA-nXB and CA_nXB-nYA :Low range, High Range for nXC and nXB, mid range for nYA for PCC and SCC with exceptions :</w:t>
            </w:r>
          </w:p>
          <w:p>
            <w:pPr>
              <w:pStyle w:val="53"/>
            </w:pPr>
            <w:r>
              <w:t>CA configurations containing the following band combinations:</w:t>
            </w:r>
          </w:p>
          <w:p>
            <w:pPr>
              <w:pStyle w:val="53"/>
            </w:pPr>
            <w:r>
              <w:t>CA_n1-n77: Mid in band n1 and Low in band n77</w:t>
            </w:r>
          </w:p>
          <w:p>
            <w:pPr>
              <w:pStyle w:val="53"/>
            </w:pPr>
            <w:r>
              <w:rPr>
                <w:lang w:eastAsia="zh-CN"/>
              </w:rPr>
              <w:t>CA_n2-n77: UL and DL Mid in band n2 and band n77 at 3850MHz</w:t>
            </w:r>
          </w:p>
          <w:p>
            <w:pPr>
              <w:pStyle w:val="53"/>
            </w:pPr>
            <w:r>
              <w:t>CA_</w:t>
            </w:r>
            <w:bookmarkStart w:id="13" w:name="OLE_LINK37"/>
            <w:r>
              <w:t xml:space="preserve">n3-n77: TBD in band 3 and TBD in band 77. </w:t>
            </w:r>
          </w:p>
          <w:p>
            <w:pPr>
              <w:pStyle w:val="53"/>
            </w:pPr>
            <w:r>
              <w:t>CA_n3-n78: Mid in band 3 and High in band 78.</w:t>
            </w:r>
          </w:p>
          <w:p>
            <w:pPr>
              <w:pStyle w:val="53"/>
            </w:pPr>
            <w:r>
              <w:t>CA_n8-nX: Low range for PCC in Band 8</w:t>
            </w:r>
          </w:p>
          <w:p>
            <w:pPr>
              <w:pStyle w:val="53"/>
            </w:pPr>
            <w:r>
              <w:t>CA_n70-n71</w:t>
            </w:r>
            <w:bookmarkEnd w:id="13"/>
            <w:r>
              <w:t>: High range for PCC in band 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CC Combination setting (CBW) as specified in Tables 5.5A.1-1, 5.5A.2-1, or tables in clauses 5.5A.3.x for the CA Configuration across bandwidth combination sets supported by the UE.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”, “N</w:t>
            </w:r>
            <w:r>
              <w:rPr>
                <w:vertAlign w:val="subscript"/>
              </w:rPr>
              <w:t>RB_SCC1</w:t>
            </w:r>
            <w:r>
              <w:t>” and “N</w:t>
            </w:r>
            <w:r>
              <w:rPr>
                <w:vertAlign w:val="subscript"/>
              </w:rPr>
              <w:t>RB_SCC2</w:t>
            </w:r>
            <w:r>
              <w:t>” columns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7534" w:type="dxa"/>
            <w:gridSpan w:val="9"/>
            <w:shd w:val="clear" w:color="auto" w:fill="auto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1" w:type="dxa"/>
            <w:gridSpan w:val="9"/>
            <w:shd w:val="clear" w:color="auto" w:fill="auto"/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7534" w:type="dxa"/>
            <w:gridSpan w:val="9"/>
            <w:shd w:val="clear" w:color="auto" w:fill="auto"/>
            <w:vAlign w:val="center"/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>
            <w:pPr>
              <w:pStyle w:val="53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Low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CC1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CC2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 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nZ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nZ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CA_nXC-nYA, CA_nYA-nXC, CA_nYA-nXB and CA_nXB-nYA Configurations</w:t>
            </w:r>
            <w:r>
              <w:rPr>
                <w:lang w:eastAsia="zh-TW"/>
              </w:rPr>
              <w:t xml:space="preserve"> 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nY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N/A</w:t>
            </w:r>
          </w:p>
        </w:tc>
        <w:tc>
          <w:tcPr>
            <w:tcW w:w="834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86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pStyle w:val="52"/>
            </w:pPr>
            <w:r>
              <w:t>nX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vertAlign w:val="subscript"/>
                <w:lang w:eastAsia="zh-TW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rPr>
          <w:rFonts w:ascii="Arial" w:hAnsi="Arial"/>
        </w:rPr>
      </w:pPr>
      <w:r>
        <w:br w:type="page"/>
      </w:r>
    </w:p>
    <w:p/>
    <w:tbl>
      <w:tblPr>
        <w:tblStyle w:val="42"/>
        <w:tblW w:w="14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834"/>
        <w:gridCol w:w="855"/>
        <w:gridCol w:w="865"/>
        <w:gridCol w:w="834"/>
        <w:gridCol w:w="854"/>
        <w:gridCol w:w="866"/>
        <w:gridCol w:w="833"/>
        <w:gridCol w:w="855"/>
        <w:gridCol w:w="969"/>
        <w:gridCol w:w="969"/>
        <w:gridCol w:w="969"/>
        <w:gridCol w:w="854"/>
        <w:gridCol w:w="582"/>
        <w:gridCol w:w="582"/>
        <w:gridCol w:w="854"/>
        <w:gridCol w:w="1012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9703" w:type="dxa"/>
            <w:gridSpan w:val="11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2609" w:type="dxa"/>
            <w:gridSpan w:val="3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UL allocation (NOTE2.0 to 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6796" w:type="dxa"/>
            <w:gridSpan w:val="8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SCC1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969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SCC2 N</w:t>
            </w:r>
            <w:r>
              <w:rPr>
                <w:vertAlign w:val="subscript"/>
                <w:lang w:eastAsia="zh-CN"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164" w:type="dxa"/>
            <w:gridSpan w:val="2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PCC &amp; SCC 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1689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PCC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gap1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SCC1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gap2</w:t>
            </w:r>
          </w:p>
        </w:tc>
        <w:tc>
          <w:tcPr>
            <w:tcW w:w="1688" w:type="dxa"/>
            <w:gridSpan w:val="2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SCC2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582" w:type="dxa"/>
            <w:vMerge w:val="restart"/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vMerge w:val="continue"/>
            <w:shd w:val="clear" w:color="auto" w:fill="auto"/>
          </w:tcPr>
          <w:p/>
        </w:tc>
        <w:tc>
          <w:tcPr>
            <w:tcW w:w="834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865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33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Band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Range</w:t>
            </w: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969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82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85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755" w:type="dxa"/>
            <w:gridSpan w:val="2"/>
            <w:vMerge w:val="continue"/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1"/>
            </w:pPr>
            <w:r>
              <w:t>Default Test Settings for a CA_nX(2A)-nYA Configuration 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TW"/>
              </w:rPr>
              <w:t xml:space="preserve">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 xml:space="preserve">Highest 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nY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Mid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CC2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t>Highest (NOTE 12)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TW"/>
              </w:rPr>
              <w:t>Highest N</w:t>
            </w:r>
            <w:r>
              <w:rPr>
                <w:b/>
                <w:vertAlign w:val="subscript"/>
                <w:lang w:eastAsia="zh-CN"/>
              </w:rPr>
              <w:t>RB_agg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CA_nX(3A) Configuration (Intra-band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Default Test Settings for a CA_nX(A-C) and CA_nX(A-B) Configuration (Intra-band contiguous + Intra-band non-contiguous)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CC1</w:t>
            </w:r>
          </w:p>
        </w:tc>
        <w:tc>
          <w:tcPr>
            <w:tcW w:w="86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Max (NOTE 7)</w:t>
            </w:r>
          </w:p>
        </w:tc>
        <w:tc>
          <w:tcPr>
            <w:tcW w:w="8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CC2</w:t>
            </w:r>
          </w:p>
        </w:tc>
        <w:tc>
          <w:tcPr>
            <w:tcW w:w="86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3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nX</w:t>
            </w:r>
          </w:p>
        </w:tc>
        <w:tc>
          <w:tcPr>
            <w:tcW w:w="85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CC3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969" w:type="dxa"/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Highest NRB_agg (NOTE 6)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CP-OFDM QPSK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Full RB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DFT-s-OFDM QPSK</w:t>
            </w:r>
          </w:p>
        </w:tc>
        <w:tc>
          <w:tcPr>
            <w:tcW w:w="1012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REFSENS</w:t>
            </w:r>
          </w:p>
        </w:tc>
        <w:tc>
          <w:tcPr>
            <w:tcW w:w="743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25" w:type="dxa"/>
            <w:gridSpan w:val="18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  <w:rPr>
                <w:lang w:eastAsia="zh-CN"/>
              </w:rPr>
            </w:pPr>
            <w:r>
              <w:t>Note 2.0:</w:t>
            </w:r>
            <w: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Inter-band: nX,nY,nZ correspond to the different bands in the CA Configuration. E.g. for CA_n1A-n3A-n8A, nX=n1, nY=n3, nZ=n8.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TW"/>
              </w:rPr>
              <w:t>4</w:t>
            </w:r>
            <w:r>
              <w:t>:</w:t>
            </w:r>
            <w:r>
              <w:tab/>
            </w:r>
            <w:r>
              <w:rPr>
                <w:bCs/>
              </w:rPr>
              <w:t>Intra-band contiguous + Inter-band</w:t>
            </w:r>
            <w:r>
              <w:rPr>
                <w:bCs/>
                <w:lang w:eastAsia="zh-TW"/>
              </w:rPr>
              <w:t>:</w:t>
            </w:r>
            <w:r>
              <w:rPr>
                <w:b/>
                <w:lang w:eastAsia="zh-TW"/>
              </w:rPr>
              <w:t xml:space="preserve"> </w:t>
            </w:r>
            <w:r>
              <w:rPr>
                <w:bCs/>
                <w:lang w:eastAsia="zh-TW"/>
              </w:rPr>
              <w:t>n</w:t>
            </w:r>
            <w:r>
              <w:rPr>
                <w:bCs/>
              </w:rPr>
              <w:t>X</w:t>
            </w:r>
            <w:r>
              <w:t xml:space="preserve">, nY correspond to the different bands in the CA Configuration, e.g. for CA_n1C-n3A, nX=n1, nY=n3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rPr>
                <w:bCs/>
              </w:rPr>
              <w:t>Intra-band non-contiguous + Inter-band:</w:t>
            </w:r>
            <w:r>
              <w:t xml:space="preserve"> nX and nY correspond to the different bands in the CA Configuration. E.g. for CA_n1A-n1A-n8A, nX=n1, nY =n8.</w:t>
            </w:r>
          </w:p>
          <w:p>
            <w:pPr>
              <w:pStyle w:val="66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</w:t>
            </w:r>
            <w:r>
              <w:rPr>
                <w:b/>
                <w:vertAlign w:val="subscript"/>
                <w:lang w:eastAsia="zh-CN"/>
              </w:rPr>
              <w:t>RB_agg</w:t>
            </w:r>
            <w:r>
              <w:rPr>
                <w:lang w:eastAsia="zh-CN"/>
              </w:rPr>
              <w:t>, only the combination with the highest N</w:t>
            </w:r>
            <w:r>
              <w:rPr>
                <w:b/>
                <w:vertAlign w:val="subscript"/>
                <w:lang w:eastAsia="zh-CN"/>
              </w:rPr>
              <w:t>RB_PCC</w:t>
            </w:r>
            <w:r>
              <w:rPr>
                <w:lang w:eastAsia="zh-CN"/>
              </w:rPr>
              <w:t xml:space="preserve"> is tested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W</w:t>
            </w:r>
            <w:r>
              <w:rPr>
                <w:b/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 is defined to be widest possible on band based on the PCC and SCC configuration for Intra-band non-contiguous</w:t>
            </w:r>
          </w:p>
          <w:p>
            <w:pPr>
              <w:pStyle w:val="66"/>
            </w:pPr>
            <w:r>
              <w:t>Note 8:</w:t>
            </w:r>
            <w:r>
              <w:tab/>
            </w:r>
            <w:r>
              <w:t>For band combinations including operating bands without uplink band (as noted in Table 5.2-1), only the CA configurations where PCC band has uplink band shall be tested</w:t>
            </w:r>
          </w:p>
          <w:p>
            <w:pPr>
              <w:pStyle w:val="66"/>
            </w:pPr>
            <w:r>
              <w:t>Note 9:</w:t>
            </w:r>
            <w:r>
              <w:tab/>
            </w:r>
            <w:r>
              <w:t>The fallback configuration CA_nXA-nYA for 3CA configurations CA_nXC-nYA, CA_nYA-nXC, CA_nYA-nXB and CA_nXB-nYA does not need to be tested even if the test frequency differs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Low range test frequencies.</w:t>
            </w:r>
          </w:p>
          <w:p>
            <w:pPr>
              <w:pStyle w:val="66"/>
            </w:pPr>
            <w:r>
              <w:rPr>
                <w:lang w:eastAsia="ja-JP"/>
              </w:rPr>
              <w:t>Note 12:</w:t>
            </w:r>
            <w:r>
              <w:rPr>
                <w:lang w:eastAsia="ja-JP"/>
              </w:rPr>
              <w:tab/>
            </w:r>
            <w:r>
              <w:t>Each of Highest UL and Highest DL shall be selected according to clause 5.5A.3.2. DL channel bandwidth shall be selected first.</w:t>
            </w:r>
          </w:p>
        </w:tc>
      </w:tr>
    </w:tbl>
    <w:p/>
    <w:p>
      <w:pPr>
        <w:sectPr>
          <w:pgSz w:w="16838" w:h="11906" w:orient="landscape"/>
          <w:pgMar w:top="1134" w:right="1418" w:bottom="1134" w:left="1134" w:header="851" w:footer="340" w:gutter="0"/>
          <w:cols w:space="708" w:num="1"/>
          <w:docGrid w:linePitch="360" w:charSpace="0"/>
        </w:sectPr>
      </w:pPr>
    </w:p>
    <w:p>
      <w:pPr>
        <w:pStyle w:val="55"/>
        <w:rPr>
          <w:lang w:eastAsia="zh-CN"/>
        </w:rPr>
      </w:pPr>
      <w:r>
        <w:t>Table 7.3A.2.4.1-2: Void</w:t>
      </w:r>
    </w:p>
    <w:p>
      <w:pPr>
        <w:pStyle w:val="55"/>
      </w:pPr>
      <w:r>
        <w:t>Table 7.3A.2.4.1-3: Void</w:t>
      </w:r>
    </w:p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7.3A.2.1.4.1-1.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7.3A.2.1.4.3</w:t>
      </w:r>
      <w:r>
        <w:rPr>
          <w:i/>
        </w:rPr>
        <w:t>.</w:t>
      </w:r>
    </w:p>
    <w:p>
      <w:pPr>
        <w:pStyle w:val="8"/>
      </w:pPr>
      <w:bookmarkStart w:id="14" w:name="_Toc36227092"/>
      <w:bookmarkStart w:id="15" w:name="_Toc27478378"/>
      <w:r>
        <w:t>7.3A.2.4.2</w:t>
      </w:r>
      <w:r>
        <w:tab/>
      </w:r>
      <w:r>
        <w:t>Test procedure</w:t>
      </w:r>
      <w:bookmarkEnd w:id="14"/>
      <w:bookmarkEnd w:id="15"/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SCCs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SCCs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7.3A.2.1.4.3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SCCs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1-1 for C_RNTI to transmit the DL RMC according to Tables 7.3A.1.4.1-1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</w:t>
      </w:r>
      <w:r>
        <w:t xml:space="preserve"> 7.3A.2.4.1-1</w:t>
      </w:r>
      <w:r>
        <w:rPr>
          <w:rFonts w:eastAsia="Malgun Gothic"/>
        </w:rPr>
        <w:t xml:space="preserve"> on PCC.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Tables 7.3.2.5-1 and 7.3.2.5-2 as appropriate.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7.3A.2.4.3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bookmarkStart w:id="16" w:name="_Toc27478379"/>
      <w:bookmarkStart w:id="17" w:name="_Toc36227093"/>
      <w:r>
        <w:t>7.3A.2.5</w:t>
      </w:r>
      <w:r>
        <w:tab/>
      </w:r>
      <w:r>
        <w:t>Test requirement</w:t>
      </w:r>
      <w:bookmarkEnd w:id="16"/>
      <w:bookmarkEnd w:id="17"/>
    </w:p>
    <w:p>
      <w:r>
        <w:t xml:space="preserve">For 3DL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 xml:space="preserve">arameters are specified in table 7.3A.2.4.1-1. For the CA configurations listed in table 7.3A.2.5-1,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each </w:t>
      </w:r>
      <w:r>
        <w:rPr>
          <w:lang w:eastAsia="zh-CN"/>
        </w:rPr>
        <w:t>non-SDL</w:t>
      </w:r>
      <w:r>
        <w:t xml:space="preserve"> carrier for 2 Rx antenna port, in table 7.3.2.5-2 for each </w:t>
      </w:r>
      <w:r>
        <w:rPr>
          <w:lang w:eastAsia="zh-CN"/>
        </w:rPr>
        <w:t>non-SDL</w:t>
      </w:r>
      <w:r>
        <w:t xml:space="preserve"> carrier for 4 Rx antenna port and in table 7.3A.1.5-2 </w:t>
      </w:r>
      <w:r>
        <w:rPr>
          <w:lang w:eastAsia="zh-CN"/>
        </w:rPr>
        <w:t>for SDL</w:t>
      </w:r>
      <w:r>
        <w:t xml:space="preserve"> carrier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 xml:space="preserve">For intra-band non-contiguous CA with one uplink carrier and two or more downlink sub-blocks, the test requirement for SCC(s) shall be increased by </w:t>
      </w:r>
      <w:r>
        <w:rPr>
          <w:rFonts w:cs="MS PGothic"/>
        </w:rPr>
        <w:t>Δ</w:t>
      </w:r>
      <w:bookmarkStart w:id="18" w:name="OLE_LINK11"/>
      <w:r>
        <w:t>R</w:t>
      </w:r>
      <w:r>
        <w:rPr>
          <w:sz w:val="13"/>
          <w:szCs w:val="13"/>
        </w:rPr>
        <w:t>IBNC</w:t>
      </w:r>
      <w:bookmarkEnd w:id="18"/>
      <w:r>
        <w:t xml:space="preserve"> given in Table 7.3A.0.2.2-1. Unless given by Table 7.3.2.3-4, the reference sensitivity requirements shall be verified with the network signalling value NS_01 (Table 6.2.3.1-1) configured.</w:t>
      </w:r>
    </w:p>
    <w:p>
      <w:pPr>
        <w:pStyle w:val="55"/>
      </w:pPr>
      <w:r>
        <w:t>Table 7.3A.2.5-1: Reference sensitivity requirement for 3DL CA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6"/>
        <w:gridCol w:w="3211"/>
        <w:gridCol w:w="3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Intra-band non-contiguous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CA_n48(3A)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CA_n66(3A)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3DL CA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CA_n1A-n78(2A)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t>CA_n1A-n78A-n79A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CA_n1A-n3A-n28A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CA_n2A-n5A-n48A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A-n8A-n78A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CA_n3A-n28A-n41A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CA_n3A-n28A-n77A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CA_n3A-n28A-n78A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CA_n3A-n41A-n77A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CA_n3A-n77(2A)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CA_n5A-n48B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CA_n25A-n66A-n78A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CA_n26A-n66-n70A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</w:t>
            </w:r>
            <w:r>
              <w:rPr>
                <w:lang w:eastAsia="ko-KR"/>
              </w:rPr>
              <w:t>_</w:t>
            </w:r>
            <w:r>
              <w:t>n28A-</w:t>
            </w:r>
            <w:r>
              <w:rPr>
                <w:lang w:eastAsia="ko-KR"/>
              </w:rPr>
              <w:t>n41A-n79A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CA_n28A-n77(2A)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CA_n41A-n66A-n71A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4-08-02T14:25:4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ins w:id="1" w:author="Luyang Zhao-CMCC" w:date="2024-08-02T14:25:47Z"/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" w:author="Luyang Zhao-CMCC" w:date="2024-08-02T14:25:47Z"/>
              </w:rPr>
            </w:pPr>
            <w:ins w:id="3" w:author="Luyang Zhao-CMCC" w:date="2024-08-02T14:25:49Z">
              <w:r>
                <w:rPr>
                  <w:rFonts w:hint="eastAsia"/>
                </w:rPr>
                <w:t>CA_n41A-n79C</w:t>
              </w:r>
            </w:ins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" w:author="Luyang Zhao-CMCC" w:date="2024-08-02T14:25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CA_n48B-n77A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CA_n48(2A)-n66A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CA_n48(2A)-n77A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CA_n48A-n66A-n77A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CA_n66A-n71A-n77A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CA_n66A-n71A-n78A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CA_n66(2A)-n71A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CA_n66B-n71A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CA_n66A-n77C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en-US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CA_n29A-n66A-n70A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CA_n29A-n66B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eastAsia="en-US"/>
              </w:rPr>
            </w:pP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CA_n29A-n66(2A)</w:t>
            </w:r>
          </w:p>
        </w:tc>
        <w:tc>
          <w:tcPr>
            <w:tcW w:w="3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103A3D"/>
    <w:rsid w:val="175E3B80"/>
    <w:rsid w:val="17DE4581"/>
    <w:rsid w:val="18416FA7"/>
    <w:rsid w:val="1A3932D8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886632B"/>
    <w:rsid w:val="294D741E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41E5273"/>
    <w:rsid w:val="34B8139C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1E704F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2C5DE7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042B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2024-08-08T08:02:12Z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